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B79E" w14:textId="5C4F3554" w:rsidR="00D567A7" w:rsidRPr="00460BE3" w:rsidRDefault="00D567A7" w:rsidP="00460BE3">
      <w:pPr>
        <w:jc w:val="center"/>
        <w:rPr>
          <w:rFonts w:ascii="Calibri" w:eastAsia="Times New Roman" w:hAnsi="Calibri" w:cs="Calibri"/>
          <w:color w:val="4472C4" w:themeColor="accent1"/>
          <w:sz w:val="32"/>
          <w:szCs w:val="32"/>
        </w:rPr>
      </w:pPr>
      <w:bookmarkStart w:id="0" w:name="OLE_LINK120"/>
      <w:bookmarkStart w:id="1" w:name="OLE_LINK121"/>
      <w:bookmarkStart w:id="2" w:name="OLE_LINK122"/>
      <w:bookmarkStart w:id="3" w:name="OLE_LINK123"/>
      <w:r w:rsidRPr="00D567A7">
        <w:rPr>
          <w:rFonts w:ascii="Calibri" w:eastAsia="Times New Roman" w:hAnsi="Calibri" w:cs="Calibri"/>
          <w:color w:val="4472C4" w:themeColor="accent1"/>
          <w:sz w:val="32"/>
          <w:szCs w:val="32"/>
        </w:rPr>
        <w:t xml:space="preserve">Children grieve deaths in their own ways much like adults. But unlike adults, </w:t>
      </w:r>
      <w:r w:rsidRPr="00D567A7">
        <w:rPr>
          <w:rFonts w:ascii="Calibri" w:eastAsia="Times New Roman" w:hAnsi="Calibri" w:cs="Calibri"/>
          <w:i/>
          <w:iCs/>
          <w:color w:val="4472C4" w:themeColor="accent1"/>
          <w:sz w:val="32"/>
          <w:szCs w:val="32"/>
        </w:rPr>
        <w:t xml:space="preserve">children and teens don’t have the vocabulary or </w:t>
      </w:r>
      <w:r w:rsidR="00E05DB6" w:rsidRPr="00460BE3">
        <w:rPr>
          <w:rFonts w:ascii="Calibri" w:eastAsia="Times New Roman" w:hAnsi="Calibri" w:cs="Calibri"/>
          <w:i/>
          <w:iCs/>
          <w:color w:val="4472C4" w:themeColor="accent1"/>
          <w:sz w:val="32"/>
          <w:szCs w:val="32"/>
        </w:rPr>
        <w:t>experience</w:t>
      </w:r>
      <w:r w:rsidRPr="00D567A7">
        <w:rPr>
          <w:rFonts w:ascii="Calibri" w:eastAsia="Times New Roman" w:hAnsi="Calibri" w:cs="Calibri"/>
          <w:i/>
          <w:iCs/>
          <w:color w:val="4472C4" w:themeColor="accent1"/>
          <w:sz w:val="32"/>
          <w:szCs w:val="32"/>
        </w:rPr>
        <w:t xml:space="preserve"> to quantify their emotions</w:t>
      </w:r>
      <w:r w:rsidRPr="00D567A7">
        <w:rPr>
          <w:rFonts w:ascii="Calibri" w:eastAsia="Times New Roman" w:hAnsi="Calibri" w:cs="Calibri"/>
          <w:color w:val="4472C4" w:themeColor="accent1"/>
          <w:sz w:val="32"/>
          <w:szCs w:val="32"/>
        </w:rPr>
        <w:t>.</w:t>
      </w:r>
    </w:p>
    <w:p w14:paraId="4503982C" w14:textId="34C59BD3" w:rsidR="00E05DB6" w:rsidRPr="00D567A7" w:rsidRDefault="00E05DB6" w:rsidP="00D567A7">
      <w:pPr>
        <w:rPr>
          <w:rFonts w:ascii="Calibri" w:eastAsia="Times New Roman" w:hAnsi="Calibri" w:cs="Calibri"/>
          <w:color w:val="000000"/>
        </w:rPr>
      </w:pPr>
    </w:p>
    <w:p w14:paraId="2987F8F3" w14:textId="5976C89D" w:rsidR="00D567A7" w:rsidRPr="00D567A7" w:rsidRDefault="00BA2236" w:rsidP="00D567A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Children</w:t>
      </w:r>
      <w:r w:rsidR="00D567A7" w:rsidRPr="00D567A7">
        <w:rPr>
          <w:rFonts w:ascii="Calibri" w:eastAsia="Times New Roman" w:hAnsi="Calibri" w:cs="Calibri"/>
          <w:color w:val="000000"/>
          <w:sz w:val="28"/>
          <w:szCs w:val="28"/>
        </w:rPr>
        <w:t xml:space="preserve"> may act </w:t>
      </w:r>
      <w:r w:rsidR="00885FEF">
        <w:rPr>
          <w:rFonts w:ascii="Calibri" w:eastAsia="Times New Roman" w:hAnsi="Calibri" w:cs="Calibri"/>
          <w:color w:val="000000"/>
          <w:sz w:val="28"/>
          <w:szCs w:val="28"/>
        </w:rPr>
        <w:t>out</w:t>
      </w:r>
      <w:r w:rsidR="00D567A7" w:rsidRPr="00D567A7">
        <w:rPr>
          <w:rFonts w:ascii="Calibri" w:eastAsia="Times New Roman" w:hAnsi="Calibri" w:cs="Calibri"/>
          <w:color w:val="000000"/>
          <w:sz w:val="28"/>
          <w:szCs w:val="28"/>
        </w:rPr>
        <w:t>, scream, throw objects, or seem “out of control”.</w:t>
      </w:r>
    </w:p>
    <w:p w14:paraId="4189E27C" w14:textId="57330B8E" w:rsidR="00AD0D17" w:rsidRPr="00AD0D17" w:rsidRDefault="00D567A7" w:rsidP="00AD0D1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D567A7">
        <w:rPr>
          <w:rFonts w:ascii="Calibri" w:eastAsia="Times New Roman" w:hAnsi="Calibri" w:cs="Calibri"/>
          <w:color w:val="000000"/>
          <w:sz w:val="28"/>
          <w:szCs w:val="28"/>
        </w:rPr>
        <w:t xml:space="preserve">Teens may begin doing riskier behaviors or act out with inappropriate language, often because </w:t>
      </w:r>
      <w:r w:rsidR="003E3EAD">
        <w:rPr>
          <w:rFonts w:ascii="Calibri" w:eastAsia="Times New Roman" w:hAnsi="Calibri" w:cs="Calibri"/>
          <w:color w:val="000000"/>
          <w:sz w:val="28"/>
          <w:szCs w:val="28"/>
        </w:rPr>
        <w:t>they’re</w:t>
      </w:r>
      <w:r w:rsidRPr="00D567A7">
        <w:rPr>
          <w:rFonts w:ascii="Calibri" w:eastAsia="Times New Roman" w:hAnsi="Calibri" w:cs="Calibri"/>
          <w:color w:val="000000"/>
          <w:sz w:val="28"/>
          <w:szCs w:val="28"/>
        </w:rPr>
        <w:t xml:space="preserve"> the worst words they can think of.</w:t>
      </w:r>
    </w:p>
    <w:bookmarkEnd w:id="2"/>
    <w:bookmarkEnd w:id="3"/>
    <w:p w14:paraId="751A2B2F" w14:textId="5C846CCF" w:rsidR="00AD0D17" w:rsidRDefault="00AD0D17" w:rsidP="00AD0D17">
      <w:p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3AE8D0" wp14:editId="5F4F174A">
            <wp:simplePos x="0" y="0"/>
            <wp:positionH relativeFrom="column">
              <wp:posOffset>1139825</wp:posOffset>
            </wp:positionH>
            <wp:positionV relativeFrom="paragraph">
              <wp:posOffset>63614</wp:posOffset>
            </wp:positionV>
            <wp:extent cx="3698240" cy="3268980"/>
            <wp:effectExtent l="0" t="0" r="0" b="0"/>
            <wp:wrapTight wrapText="bothSides">
              <wp:wrapPolygon edited="0">
                <wp:start x="9791" y="336"/>
                <wp:lineTo x="7714" y="1678"/>
                <wp:lineTo x="6305" y="2937"/>
                <wp:lineTo x="5934" y="3860"/>
                <wp:lineTo x="5637" y="4364"/>
                <wp:lineTo x="4673" y="7217"/>
                <wp:lineTo x="4302" y="8559"/>
                <wp:lineTo x="4154" y="9231"/>
                <wp:lineTo x="4376" y="11245"/>
                <wp:lineTo x="3560" y="12336"/>
                <wp:lineTo x="3486" y="13930"/>
                <wp:lineTo x="3041" y="15273"/>
                <wp:lineTo x="2893" y="16615"/>
                <wp:lineTo x="2374" y="18210"/>
                <wp:lineTo x="2151" y="19301"/>
                <wp:lineTo x="1706" y="19552"/>
                <wp:lineTo x="890" y="20476"/>
                <wp:lineTo x="445" y="21483"/>
                <wp:lineTo x="21214" y="21483"/>
                <wp:lineTo x="20769" y="20643"/>
                <wp:lineTo x="19879" y="19469"/>
                <wp:lineTo x="19731" y="19301"/>
                <wp:lineTo x="17283" y="17958"/>
                <wp:lineTo x="18025" y="17958"/>
                <wp:lineTo x="18173" y="17538"/>
                <wp:lineTo x="17876" y="16615"/>
                <wp:lineTo x="17802" y="15524"/>
                <wp:lineTo x="17357" y="13930"/>
                <wp:lineTo x="17135" y="9902"/>
                <wp:lineTo x="16764" y="8559"/>
                <wp:lineTo x="16467" y="5874"/>
                <wp:lineTo x="15948" y="4951"/>
                <wp:lineTo x="15948" y="4448"/>
                <wp:lineTo x="15725" y="4028"/>
                <wp:lineTo x="15132" y="3189"/>
                <wp:lineTo x="14613" y="2266"/>
                <wp:lineTo x="14316" y="1594"/>
                <wp:lineTo x="12536" y="503"/>
                <wp:lineTo x="11942" y="336"/>
                <wp:lineTo x="9791" y="336"/>
              </wp:wrapPolygon>
            </wp:wrapTight>
            <wp:docPr id="3" name="Picture 3" descr="A picture containing person, indoor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indoor, pos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24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71CF5" w14:textId="77777777" w:rsidR="00AD0D17" w:rsidRDefault="00AD0D17" w:rsidP="00AD0D17">
      <w:p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  <w:sectPr w:rsidR="00AD0D17" w:rsidSect="00AD0D17">
          <w:headerReference w:type="default" r:id="rId8"/>
          <w:footerReference w:type="default" r:id="rId9"/>
          <w:pgSz w:w="12240" w:h="15840"/>
          <w:pgMar w:top="1440" w:right="1440" w:bottom="1440" w:left="1440" w:header="0" w:footer="54" w:gutter="0"/>
          <w:cols w:space="720"/>
          <w:docGrid w:linePitch="360"/>
        </w:sectPr>
      </w:pPr>
    </w:p>
    <w:p w14:paraId="2050C698" w14:textId="6C358768" w:rsidR="00AD0D17" w:rsidRPr="00AD0D17" w:rsidRDefault="00AD0D17" w:rsidP="00AD0D17">
      <w:pPr>
        <w:rPr>
          <w:sz w:val="28"/>
          <w:szCs w:val="28"/>
        </w:rPr>
      </w:pPr>
      <w:bookmarkStart w:id="6" w:name="OLE_LINK124"/>
      <w:bookmarkStart w:id="7" w:name="OLE_LINK125"/>
      <w:r w:rsidRPr="00AD0D17">
        <w:rPr>
          <w:sz w:val="28"/>
          <w:szCs w:val="28"/>
        </w:rPr>
        <w:t>Death for children and teens is hard enough under “normal” circumstances, such as the passing of an elderly grandparent or a relative or friend from a serious illness. Even car crashes, which are by nature violent, are somewhat normalized in our culture as a “normal” death.</w:t>
      </w:r>
    </w:p>
    <w:p w14:paraId="1CBB99D3" w14:textId="039B606D" w:rsidR="00AD0D17" w:rsidRDefault="00AD0D17" w:rsidP="003E3EAD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AD0D17">
        <w:rPr>
          <w:rFonts w:ascii="Calibri" w:eastAsia="Times New Roman" w:hAnsi="Calibri" w:cs="Calibri"/>
          <w:color w:val="000000"/>
          <w:sz w:val="28"/>
          <w:szCs w:val="28"/>
        </w:rPr>
        <w:br w:type="column"/>
      </w:r>
      <w:r w:rsidRPr="00D567A7">
        <w:rPr>
          <w:rFonts w:ascii="Calibri" w:eastAsia="Times New Roman" w:hAnsi="Calibri" w:cs="Calibri"/>
          <w:color w:val="000000"/>
          <w:sz w:val="28"/>
          <w:szCs w:val="28"/>
        </w:rPr>
        <w:t xml:space="preserve">But death from trauma or violence, such as a shooting or a beating, changes how kids grieve.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Youth </w:t>
      </w:r>
      <w:r w:rsidRPr="00D567A7">
        <w:rPr>
          <w:rFonts w:ascii="Calibri" w:eastAsia="Times New Roman" w:hAnsi="Calibri" w:cs="Calibri"/>
          <w:color w:val="000000"/>
          <w:sz w:val="28"/>
          <w:szCs w:val="28"/>
        </w:rPr>
        <w:t xml:space="preserve">who haven’t experienced death before are already experiencing extreme and unfamiliar emotions. </w:t>
      </w:r>
      <w:r>
        <w:rPr>
          <w:rFonts w:ascii="Calibri" w:eastAsia="Times New Roman" w:hAnsi="Calibri" w:cs="Calibri"/>
          <w:color w:val="000000"/>
          <w:sz w:val="28"/>
          <w:szCs w:val="28"/>
        </w:rPr>
        <w:t>D</w:t>
      </w:r>
      <w:r w:rsidRPr="00D567A7">
        <w:rPr>
          <w:rFonts w:ascii="Calibri" w:eastAsia="Times New Roman" w:hAnsi="Calibri" w:cs="Calibri"/>
          <w:color w:val="000000"/>
          <w:sz w:val="28"/>
          <w:szCs w:val="28"/>
        </w:rPr>
        <w:t xml:space="preserve">eath because of a violent crime often causes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more </w:t>
      </w:r>
      <w:r w:rsidRPr="00D567A7">
        <w:rPr>
          <w:rFonts w:ascii="Calibri" w:eastAsia="Times New Roman" w:hAnsi="Calibri" w:cs="Calibri"/>
          <w:color w:val="000000"/>
          <w:sz w:val="28"/>
          <w:szCs w:val="28"/>
        </w:rPr>
        <w:t>trauma, PTSD, and other reactions</w:t>
      </w:r>
      <w:r w:rsidRPr="00AD0D17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bookmarkEnd w:id="0"/>
    <w:bookmarkEnd w:id="1"/>
    <w:bookmarkEnd w:id="6"/>
    <w:bookmarkEnd w:id="7"/>
    <w:p w14:paraId="46D0D50E" w14:textId="77777777" w:rsidR="00FE7EC8" w:rsidRDefault="00FE7EC8" w:rsidP="003E3EAD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C7E18D7" w14:textId="6408F5F6" w:rsidR="00FE7EC8" w:rsidRPr="00AD0D17" w:rsidRDefault="00FE7EC8" w:rsidP="003E3EAD">
      <w:pPr>
        <w:rPr>
          <w:rFonts w:ascii="Calibri" w:eastAsia="Times New Roman" w:hAnsi="Calibri" w:cs="Calibri"/>
          <w:color w:val="000000"/>
          <w:sz w:val="32"/>
          <w:szCs w:val="32"/>
        </w:rPr>
        <w:sectPr w:rsidR="00FE7EC8" w:rsidRPr="00AD0D17" w:rsidSect="00AD0D17">
          <w:type w:val="continuous"/>
          <w:pgSz w:w="12240" w:h="15840"/>
          <w:pgMar w:top="1440" w:right="1440" w:bottom="1440" w:left="1440" w:header="0" w:footer="54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3E3EAD" w14:paraId="3A9E02AC" w14:textId="77777777" w:rsidTr="00AD0D17">
        <w:trPr>
          <w:trHeight w:val="719"/>
        </w:trPr>
        <w:tc>
          <w:tcPr>
            <w:tcW w:w="9350" w:type="dxa"/>
            <w:gridSpan w:val="2"/>
            <w:vAlign w:val="center"/>
          </w:tcPr>
          <w:p w14:paraId="598E13E4" w14:textId="63531E68" w:rsidR="003E3EAD" w:rsidRPr="00D567A7" w:rsidRDefault="003E3EAD" w:rsidP="00AD0D1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8" w:name="OLE_LINK126"/>
            <w:bookmarkStart w:id="9" w:name="OLE_LINK127"/>
            <w:r w:rsidRPr="00D567A7">
              <w:rPr>
                <w:rFonts w:ascii="Calibri" w:eastAsia="Times New Roman" w:hAnsi="Calibri" w:cs="Calibri"/>
                <w:b/>
                <w:bCs/>
                <w:color w:val="70AD47" w:themeColor="accent6"/>
                <w:sz w:val="36"/>
                <w:szCs w:val="36"/>
              </w:rPr>
              <w:t>Recognize</w:t>
            </w:r>
            <w:r w:rsidRPr="00D567A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: offering advice may not be the best place to start</w:t>
            </w:r>
            <w:bookmarkEnd w:id="8"/>
            <w:bookmarkEnd w:id="9"/>
          </w:p>
        </w:tc>
      </w:tr>
      <w:tr w:rsidR="00885FEF" w14:paraId="537FBEDC" w14:textId="77777777" w:rsidTr="00AD0D17">
        <w:tc>
          <w:tcPr>
            <w:tcW w:w="5125" w:type="dxa"/>
          </w:tcPr>
          <w:p w14:paraId="7BFB557C" w14:textId="77777777" w:rsidR="00885FEF" w:rsidRPr="00D567A7" w:rsidRDefault="00885FEF" w:rsidP="00885FEF">
            <w:pPr>
              <w:rPr>
                <w:rFonts w:ascii="Calibri" w:eastAsia="Times New Roman" w:hAnsi="Calibri" w:cs="Calibri"/>
                <w:color w:val="000000"/>
              </w:rPr>
            </w:pPr>
            <w:bookmarkStart w:id="10" w:name="OLE_LINK128"/>
            <w:bookmarkStart w:id="11" w:name="OLE_LINK129"/>
            <w:r w:rsidRPr="00D567A7">
              <w:rPr>
                <w:rFonts w:ascii="Calibri" w:eastAsia="Times New Roman" w:hAnsi="Calibri" w:cs="Calibri"/>
                <w:color w:val="000000"/>
              </w:rPr>
              <w:t>Parents and caregivers often want to “fix” whatever barriers or problems a child has. That’s a perfectly normal reaction to a tough homework assignment or loss to a game. </w:t>
            </w:r>
          </w:p>
          <w:p w14:paraId="740B74BF" w14:textId="77777777" w:rsidR="00885FEF" w:rsidRPr="00D567A7" w:rsidRDefault="00885FEF" w:rsidP="00885FE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523A6BD" w14:textId="2685C597" w:rsidR="00885FEF" w:rsidRPr="00FE7EC8" w:rsidRDefault="00885FEF" w:rsidP="00885FEF">
            <w:pPr>
              <w:rPr>
                <w:rFonts w:ascii="Calibri" w:eastAsia="Times New Roman" w:hAnsi="Calibri" w:cs="Calibri"/>
                <w:color w:val="000000"/>
              </w:rPr>
            </w:pPr>
            <w:r w:rsidRPr="00D567A7">
              <w:rPr>
                <w:rFonts w:ascii="Calibri" w:eastAsia="Times New Roman" w:hAnsi="Calibri" w:cs="Calibri"/>
                <w:color w:val="000000"/>
              </w:rPr>
              <w:t xml:space="preserve">But death and trauma are not normal situations. You may be quick to give advice, opinions, or offer </w:t>
            </w:r>
            <w:r w:rsidRPr="00FE7EC8">
              <w:rPr>
                <w:rFonts w:ascii="Calibri" w:eastAsia="Times New Roman" w:hAnsi="Calibri" w:cs="Calibri"/>
                <w:color w:val="000000"/>
              </w:rPr>
              <w:t>judgment</w:t>
            </w:r>
            <w:r w:rsidRPr="00D567A7">
              <w:rPr>
                <w:rFonts w:ascii="Calibri" w:eastAsia="Times New Roman" w:hAnsi="Calibri" w:cs="Calibri"/>
                <w:color w:val="000000"/>
              </w:rPr>
              <w:t xml:space="preserve"> on the situation, but </w:t>
            </w:r>
            <w:r w:rsidRPr="00FE7EC8">
              <w:rPr>
                <w:rFonts w:ascii="Calibri" w:eastAsia="Times New Roman" w:hAnsi="Calibri" w:cs="Calibri"/>
                <w:color w:val="000000"/>
              </w:rPr>
              <w:t>remember</w:t>
            </w:r>
            <w:r w:rsidRPr="00D567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E7EC8">
              <w:rPr>
                <w:rFonts w:ascii="Calibri" w:eastAsia="Times New Roman" w:hAnsi="Calibri" w:cs="Calibri"/>
                <w:color w:val="000000"/>
              </w:rPr>
              <w:t xml:space="preserve">that </w:t>
            </w:r>
            <w:r w:rsidRPr="00D567A7">
              <w:rPr>
                <w:rFonts w:ascii="Calibri" w:eastAsia="Times New Roman" w:hAnsi="Calibri" w:cs="Calibri"/>
                <w:color w:val="000000"/>
              </w:rPr>
              <w:t>nothing about violence ever makes sense. </w:t>
            </w:r>
            <w:bookmarkEnd w:id="10"/>
            <w:bookmarkEnd w:id="11"/>
          </w:p>
        </w:tc>
        <w:tc>
          <w:tcPr>
            <w:tcW w:w="4225" w:type="dxa"/>
          </w:tcPr>
          <w:p w14:paraId="275F2DA2" w14:textId="77777777" w:rsidR="00885FEF" w:rsidRPr="00D567A7" w:rsidRDefault="00885FEF" w:rsidP="00AD0D17">
            <w:pPr>
              <w:numPr>
                <w:ilvl w:val="0"/>
                <w:numId w:val="5"/>
              </w:numPr>
              <w:spacing w:line="276" w:lineRule="auto"/>
              <w:ind w:left="338" w:hanging="27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bookmarkStart w:id="12" w:name="OLE_LINK130"/>
            <w:bookmarkStart w:id="13" w:name="OLE_LINK131"/>
            <w:r w:rsidRPr="00D567A7">
              <w:rPr>
                <w:rFonts w:ascii="Calibri" w:eastAsia="Times New Roman" w:hAnsi="Calibri" w:cs="Calibri"/>
                <w:b/>
                <w:bCs/>
                <w:color w:val="000000"/>
              </w:rPr>
              <w:t>What’s most helpful</w:t>
            </w:r>
            <w:r w:rsidRPr="00D567A7">
              <w:rPr>
                <w:rFonts w:ascii="Calibri" w:eastAsia="Times New Roman" w:hAnsi="Calibri" w:cs="Calibri"/>
                <w:color w:val="000000"/>
              </w:rPr>
              <w:t xml:space="preserve"> is to listen without judging, over-thinking, or interpreting their words.</w:t>
            </w:r>
          </w:p>
          <w:p w14:paraId="13C04E12" w14:textId="12FE466C" w:rsidR="00885FEF" w:rsidRPr="00FE7EC8" w:rsidRDefault="00885FEF" w:rsidP="00AD0D17">
            <w:pPr>
              <w:numPr>
                <w:ilvl w:val="0"/>
                <w:numId w:val="5"/>
              </w:numPr>
              <w:spacing w:line="276" w:lineRule="auto"/>
              <w:ind w:left="338" w:hanging="27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567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“Reflect” their </w:t>
            </w:r>
            <w:r w:rsidRPr="00FE7EC8">
              <w:rPr>
                <w:rFonts w:ascii="Calibri" w:eastAsia="Times New Roman" w:hAnsi="Calibri" w:cs="Calibri"/>
                <w:b/>
                <w:bCs/>
                <w:color w:val="000000"/>
              </w:rPr>
              <w:t>words</w:t>
            </w:r>
            <w:r w:rsidRPr="00FE7EC8">
              <w:rPr>
                <w:rFonts w:ascii="Calibri" w:eastAsia="Times New Roman" w:hAnsi="Calibri" w:cs="Calibri"/>
                <w:color w:val="000000"/>
              </w:rPr>
              <w:t xml:space="preserve"> by</w:t>
            </w:r>
            <w:r w:rsidRPr="00D567A7">
              <w:rPr>
                <w:rFonts w:ascii="Calibri" w:eastAsia="Times New Roman" w:hAnsi="Calibri" w:cs="Calibri"/>
                <w:color w:val="000000"/>
              </w:rPr>
              <w:t xml:space="preserve"> repeating their sentiment. For instance, if they said, “I miss mom,” you could say, “I miss her, too.” This helps children </w:t>
            </w:r>
            <w:r w:rsidR="00FE7EC8">
              <w:rPr>
                <w:rFonts w:ascii="Calibri" w:eastAsia="Times New Roman" w:hAnsi="Calibri" w:cs="Calibri"/>
                <w:color w:val="000000"/>
              </w:rPr>
              <w:t>know</w:t>
            </w:r>
            <w:r w:rsidRPr="00D567A7">
              <w:rPr>
                <w:rFonts w:ascii="Calibri" w:eastAsia="Times New Roman" w:hAnsi="Calibri" w:cs="Calibri"/>
                <w:color w:val="000000"/>
              </w:rPr>
              <w:t xml:space="preserve"> you share similar feelings.</w:t>
            </w:r>
            <w:bookmarkEnd w:id="12"/>
            <w:bookmarkEnd w:id="13"/>
          </w:p>
        </w:tc>
      </w:tr>
    </w:tbl>
    <w:p w14:paraId="238390DB" w14:textId="096E7922" w:rsidR="00885FEF" w:rsidRPr="00AD0D17" w:rsidRDefault="00885FEF" w:rsidP="00AD0D17">
      <w:pPr>
        <w:spacing w:before="360" w:after="120"/>
        <w:outlineLvl w:val="1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125"/>
      </w:tblGrid>
      <w:tr w:rsidR="003E3EAD" w14:paraId="769CA98F" w14:textId="77777777" w:rsidTr="00AD0D17">
        <w:trPr>
          <w:trHeight w:val="657"/>
        </w:trPr>
        <w:tc>
          <w:tcPr>
            <w:tcW w:w="9350" w:type="dxa"/>
            <w:gridSpan w:val="2"/>
            <w:vAlign w:val="center"/>
          </w:tcPr>
          <w:p w14:paraId="24E815E5" w14:textId="64EC699D" w:rsidR="003E3EAD" w:rsidRPr="00D567A7" w:rsidRDefault="003E3EAD" w:rsidP="00AD0D1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14" w:name="OLE_LINK132"/>
            <w:bookmarkStart w:id="15" w:name="OLE_LINK133"/>
            <w:r w:rsidRPr="00D567A7">
              <w:rPr>
                <w:rFonts w:ascii="Calibri" w:eastAsia="Times New Roman" w:hAnsi="Calibri" w:cs="Calibri"/>
                <w:b/>
                <w:bCs/>
                <w:color w:val="70AD47" w:themeColor="accent6"/>
                <w:sz w:val="36"/>
                <w:szCs w:val="36"/>
              </w:rPr>
              <w:lastRenderedPageBreak/>
              <w:t>Talk</w:t>
            </w:r>
            <w:r w:rsidRPr="00D567A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: about the person who died openly and honestly</w:t>
            </w:r>
            <w:bookmarkEnd w:id="14"/>
            <w:bookmarkEnd w:id="15"/>
          </w:p>
        </w:tc>
      </w:tr>
      <w:tr w:rsidR="00885FEF" w14:paraId="76DC3164" w14:textId="77777777" w:rsidTr="00AD0D17">
        <w:tc>
          <w:tcPr>
            <w:tcW w:w="4225" w:type="dxa"/>
          </w:tcPr>
          <w:p w14:paraId="4BE73EF7" w14:textId="77777777" w:rsidR="001D523C" w:rsidRPr="00FE7EC8" w:rsidRDefault="00885FEF" w:rsidP="00885FEF">
            <w:pPr>
              <w:rPr>
                <w:rFonts w:ascii="Calibri" w:eastAsia="Times New Roman" w:hAnsi="Calibri" w:cs="Calibri"/>
                <w:color w:val="000000"/>
              </w:rPr>
            </w:pPr>
            <w:bookmarkStart w:id="16" w:name="OLE_LINK140"/>
            <w:bookmarkStart w:id="17" w:name="OLE_LINK141"/>
            <w:r w:rsidRPr="00D567A7">
              <w:rPr>
                <w:rFonts w:ascii="Calibri" w:eastAsia="Times New Roman" w:hAnsi="Calibri" w:cs="Calibri"/>
                <w:color w:val="000000"/>
              </w:rPr>
              <w:t xml:space="preserve">You’ll have to use your best judgment about your child’s mental fitness, but it’s rarely a good idea to hide the death or cause of death from the child. </w:t>
            </w:r>
          </w:p>
          <w:p w14:paraId="7594B305" w14:textId="77777777" w:rsidR="001D523C" w:rsidRPr="00FE7EC8" w:rsidRDefault="001D523C" w:rsidP="00885FE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EDBBA78" w14:textId="77777777" w:rsidR="001D523C" w:rsidRPr="00FE7EC8" w:rsidRDefault="00885FEF" w:rsidP="00885FEF">
            <w:pPr>
              <w:rPr>
                <w:rFonts w:ascii="Calibri" w:eastAsia="Times New Roman" w:hAnsi="Calibri" w:cs="Calibri"/>
                <w:color w:val="000000"/>
              </w:rPr>
            </w:pPr>
            <w:r w:rsidRPr="00D567A7">
              <w:rPr>
                <w:rFonts w:ascii="Calibri" w:eastAsia="Times New Roman" w:hAnsi="Calibri" w:cs="Calibri"/>
                <w:color w:val="000000"/>
              </w:rPr>
              <w:t xml:space="preserve">They will learn about it eventually and if you’ve tried to hide it from them—assuming they weren’t a witness to the crime—they may come to resent you later for not disclosing as much as was appropriate. </w:t>
            </w:r>
          </w:p>
          <w:p w14:paraId="3E4DA6F5" w14:textId="77777777" w:rsidR="001D523C" w:rsidRPr="00FE7EC8" w:rsidRDefault="001D523C" w:rsidP="00885FE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C469144" w14:textId="77777777" w:rsidR="00AD0D17" w:rsidRPr="00FE7EC8" w:rsidRDefault="00885FEF" w:rsidP="00885FEF">
            <w:pPr>
              <w:rPr>
                <w:rFonts w:ascii="Calibri" w:eastAsia="Times New Roman" w:hAnsi="Calibri" w:cs="Calibri"/>
                <w:color w:val="000000"/>
              </w:rPr>
            </w:pPr>
            <w:r w:rsidRPr="00D567A7">
              <w:rPr>
                <w:rFonts w:ascii="Calibri" w:eastAsia="Times New Roman" w:hAnsi="Calibri" w:cs="Calibri"/>
                <w:color w:val="000000"/>
              </w:rPr>
              <w:t>Remember, too, they might also be able to find details online, through social media, or local news reports.</w:t>
            </w:r>
          </w:p>
          <w:bookmarkEnd w:id="16"/>
          <w:bookmarkEnd w:id="17"/>
          <w:p w14:paraId="5585EE4D" w14:textId="51456CC3" w:rsidR="00AD0D17" w:rsidRPr="00FE7EC8" w:rsidRDefault="00AD0D17" w:rsidP="00885FE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5AC85AD" w14:textId="73F7A73E" w:rsidR="00885FEF" w:rsidRPr="00FE7EC8" w:rsidRDefault="00AD0D17" w:rsidP="00AD0D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EC8">
              <w:rPr>
                <w:rFonts w:ascii="Calibri" w:eastAsia="Times New Roman" w:hAnsi="Calibri" w:cs="Calibri"/>
                <w:b/>
                <w:bCs/>
                <w:noProof/>
                <w:color w:val="4472C4" w:themeColor="accent1"/>
              </w:rPr>
              <w:drawing>
                <wp:anchor distT="0" distB="0" distL="114300" distR="114300" simplePos="0" relativeHeight="251659264" behindDoc="0" locked="0" layoutInCell="1" allowOverlap="1" wp14:anchorId="1038A660" wp14:editId="089496C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58420</wp:posOffset>
                  </wp:positionV>
                  <wp:extent cx="564515" cy="564515"/>
                  <wp:effectExtent l="0" t="0" r="0" b="0"/>
                  <wp:wrapSquare wrapText="bothSides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8" w:name="OLE_LINK144"/>
            <w:bookmarkStart w:id="19" w:name="OLE_LINK145"/>
            <w:r w:rsidRPr="00FE7EC8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If you need help thinking of things to say, talk to a physician, counselor, or your Victim Advocate.</w:t>
            </w:r>
            <w:bookmarkEnd w:id="18"/>
            <w:bookmarkEnd w:id="19"/>
            <w:r w:rsidR="00885FEF" w:rsidRPr="00D567A7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5125" w:type="dxa"/>
          </w:tcPr>
          <w:p w14:paraId="4223389D" w14:textId="2A015DD1" w:rsidR="00885FEF" w:rsidRPr="00D567A7" w:rsidRDefault="00885FEF" w:rsidP="00AD0D17">
            <w:pPr>
              <w:numPr>
                <w:ilvl w:val="0"/>
                <w:numId w:val="6"/>
              </w:numPr>
              <w:spacing w:line="276" w:lineRule="auto"/>
              <w:ind w:left="434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bookmarkStart w:id="20" w:name="OLE_LINK142"/>
            <w:bookmarkStart w:id="21" w:name="OLE_LINK143"/>
            <w:r w:rsidRPr="00D567A7">
              <w:rPr>
                <w:rFonts w:ascii="Calibri" w:eastAsia="Times New Roman" w:hAnsi="Calibri" w:cs="Calibri"/>
                <w:b/>
                <w:bCs/>
                <w:color w:val="000000"/>
              </w:rPr>
              <w:t>Avoid metaphors and euphemisms</w:t>
            </w:r>
            <w:r w:rsidRPr="00D567A7">
              <w:rPr>
                <w:rFonts w:ascii="Calibri" w:eastAsia="Times New Roman" w:hAnsi="Calibri" w:cs="Calibri"/>
                <w:color w:val="000000"/>
              </w:rPr>
              <w:t xml:space="preserve"> like they’re on a long work trip or visiting someone out of town. Doctors know </w:t>
            </w:r>
            <w:r w:rsidR="005721BB">
              <w:rPr>
                <w:rFonts w:ascii="Calibri" w:eastAsia="Times New Roman" w:hAnsi="Calibri" w:cs="Calibri"/>
                <w:color w:val="000000"/>
              </w:rPr>
              <w:t xml:space="preserve">to </w:t>
            </w:r>
            <w:r w:rsidRPr="00D567A7">
              <w:rPr>
                <w:rFonts w:ascii="Calibri" w:eastAsia="Times New Roman" w:hAnsi="Calibri" w:cs="Calibri"/>
                <w:color w:val="000000"/>
              </w:rPr>
              <w:t xml:space="preserve">use </w:t>
            </w:r>
            <w:r w:rsidR="005721BB">
              <w:rPr>
                <w:rFonts w:ascii="Calibri" w:eastAsia="Times New Roman" w:hAnsi="Calibri" w:cs="Calibri"/>
                <w:color w:val="000000"/>
              </w:rPr>
              <w:t>direct</w:t>
            </w:r>
            <w:r w:rsidRPr="00D567A7">
              <w:rPr>
                <w:rFonts w:ascii="Calibri" w:eastAsia="Times New Roman" w:hAnsi="Calibri" w:cs="Calibri"/>
                <w:color w:val="000000"/>
              </w:rPr>
              <w:t xml:space="preserve"> words like “</w:t>
            </w:r>
            <w:r w:rsidR="005721BB">
              <w:rPr>
                <w:rFonts w:ascii="Calibri" w:eastAsia="Times New Roman" w:hAnsi="Calibri" w:cs="Calibri"/>
                <w:color w:val="000000"/>
              </w:rPr>
              <w:t>Sh</w:t>
            </w:r>
            <w:r w:rsidRPr="00D567A7">
              <w:rPr>
                <w:rFonts w:ascii="Calibri" w:eastAsia="Times New Roman" w:hAnsi="Calibri" w:cs="Calibri"/>
                <w:color w:val="000000"/>
              </w:rPr>
              <w:t>e died.” Do the same for your children.</w:t>
            </w:r>
          </w:p>
          <w:p w14:paraId="5C3FAD69" w14:textId="32DB133E" w:rsidR="00885FEF" w:rsidRPr="00D567A7" w:rsidRDefault="00885FEF" w:rsidP="00AD0D17">
            <w:pPr>
              <w:numPr>
                <w:ilvl w:val="0"/>
                <w:numId w:val="6"/>
              </w:numPr>
              <w:spacing w:line="276" w:lineRule="auto"/>
              <w:ind w:left="434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567A7">
              <w:rPr>
                <w:rFonts w:ascii="Calibri" w:eastAsia="Times New Roman" w:hAnsi="Calibri" w:cs="Calibri"/>
                <w:b/>
                <w:bCs/>
                <w:color w:val="000000"/>
              </w:rPr>
              <w:t>Use their name or pronoun</w:t>
            </w:r>
            <w:r w:rsidRPr="00D567A7">
              <w:rPr>
                <w:rFonts w:ascii="Calibri" w:eastAsia="Times New Roman" w:hAnsi="Calibri" w:cs="Calibri"/>
                <w:color w:val="000000"/>
              </w:rPr>
              <w:t xml:space="preserve">, such as “Your dad” or “Your sister Liz” or “Coach Brewer”. By bringing them up from time to time, such as when a favorite song or dish is around, it allows children to associate </w:t>
            </w:r>
            <w:r w:rsidR="00FE7EC8">
              <w:rPr>
                <w:rFonts w:ascii="Calibri" w:eastAsia="Times New Roman" w:hAnsi="Calibri" w:cs="Calibri"/>
                <w:color w:val="000000"/>
              </w:rPr>
              <w:t>memories</w:t>
            </w:r>
            <w:r w:rsidRPr="00D567A7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11EC6ED6" w14:textId="52ADE359" w:rsidR="00885FEF" w:rsidRPr="00D567A7" w:rsidRDefault="00885FEF" w:rsidP="00AD0D17">
            <w:pPr>
              <w:numPr>
                <w:ilvl w:val="0"/>
                <w:numId w:val="6"/>
              </w:numPr>
              <w:spacing w:line="276" w:lineRule="auto"/>
              <w:ind w:left="434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567A7">
              <w:rPr>
                <w:rFonts w:ascii="Calibri" w:eastAsia="Times New Roman" w:hAnsi="Calibri" w:cs="Calibri"/>
                <w:b/>
                <w:bCs/>
                <w:color w:val="000000"/>
              </w:rPr>
              <w:t>Consider making copies of print photos</w:t>
            </w:r>
            <w:r w:rsidRPr="00D567A7">
              <w:rPr>
                <w:rFonts w:ascii="Calibri" w:eastAsia="Times New Roman" w:hAnsi="Calibri" w:cs="Calibri"/>
                <w:color w:val="000000"/>
              </w:rPr>
              <w:t>. Some children grieve by seeing a person as they were. And there’s value in having photo</w:t>
            </w:r>
            <w:r w:rsidR="00AD0D17" w:rsidRPr="00FE7EC8">
              <w:rPr>
                <w:rFonts w:ascii="Calibri" w:eastAsia="Times New Roman" w:hAnsi="Calibri" w:cs="Calibri"/>
                <w:color w:val="000000"/>
              </w:rPr>
              <w:t>s</w:t>
            </w:r>
            <w:r w:rsidRPr="00D567A7">
              <w:rPr>
                <w:rFonts w:ascii="Calibri" w:eastAsia="Times New Roman" w:hAnsi="Calibri" w:cs="Calibri"/>
                <w:color w:val="000000"/>
              </w:rPr>
              <w:t xml:space="preserve"> on a wall or locker and not buried in a phone’s photo library.</w:t>
            </w:r>
          </w:p>
          <w:p w14:paraId="369114EA" w14:textId="6475F4D0" w:rsidR="00885FEF" w:rsidRPr="00FE7EC8" w:rsidRDefault="00885FEF" w:rsidP="00AD0D17">
            <w:pPr>
              <w:numPr>
                <w:ilvl w:val="0"/>
                <w:numId w:val="6"/>
              </w:numPr>
              <w:spacing w:line="276" w:lineRule="auto"/>
              <w:ind w:left="434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567A7">
              <w:rPr>
                <w:rFonts w:ascii="Calibri" w:eastAsia="Times New Roman" w:hAnsi="Calibri" w:cs="Calibri"/>
                <w:b/>
                <w:bCs/>
                <w:color w:val="000000"/>
              </w:rPr>
              <w:t>Involve them in memorials or celebrations</w:t>
            </w:r>
            <w:r w:rsidRPr="00D567A7">
              <w:rPr>
                <w:rFonts w:ascii="Calibri" w:eastAsia="Times New Roman" w:hAnsi="Calibri" w:cs="Calibri"/>
                <w:color w:val="000000"/>
              </w:rPr>
              <w:t xml:space="preserve"> such as birthdays, and holidays. That could include going to a gravesite, favorite place, restaurant, or sharing memories via text.</w:t>
            </w:r>
            <w:bookmarkEnd w:id="20"/>
            <w:bookmarkEnd w:id="21"/>
          </w:p>
        </w:tc>
      </w:tr>
      <w:tr w:rsidR="003E3EAD" w14:paraId="1D192C18" w14:textId="77777777" w:rsidTr="00AD0D17">
        <w:trPr>
          <w:trHeight w:val="629"/>
        </w:trPr>
        <w:tc>
          <w:tcPr>
            <w:tcW w:w="9350" w:type="dxa"/>
            <w:gridSpan w:val="2"/>
            <w:vAlign w:val="center"/>
          </w:tcPr>
          <w:p w14:paraId="07ECA8EC" w14:textId="5979D06B" w:rsidR="003E3EAD" w:rsidRPr="00D567A7" w:rsidRDefault="003E3EAD" w:rsidP="00AD0D17">
            <w:pPr>
              <w:ind w:left="341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22" w:name="OLE_LINK134"/>
            <w:bookmarkStart w:id="23" w:name="OLE_LINK135"/>
            <w:r w:rsidRPr="00D567A7">
              <w:rPr>
                <w:rFonts w:ascii="Calibri" w:eastAsia="Times New Roman" w:hAnsi="Calibri" w:cs="Calibri"/>
                <w:b/>
                <w:bCs/>
                <w:color w:val="70AD47" w:themeColor="accent6"/>
                <w:sz w:val="36"/>
                <w:szCs w:val="36"/>
              </w:rPr>
              <w:t>Know</w:t>
            </w:r>
            <w:r w:rsidRPr="00D567A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: grief follows no pattern or schedule</w:t>
            </w:r>
            <w:bookmarkEnd w:id="22"/>
            <w:bookmarkEnd w:id="23"/>
          </w:p>
        </w:tc>
      </w:tr>
      <w:tr w:rsidR="00885FEF" w14:paraId="627BA262" w14:textId="77777777" w:rsidTr="00AD0D17">
        <w:tc>
          <w:tcPr>
            <w:tcW w:w="4230" w:type="dxa"/>
          </w:tcPr>
          <w:p w14:paraId="734E432D" w14:textId="77777777" w:rsidR="001D523C" w:rsidRPr="00FE7EC8" w:rsidRDefault="00885FEF" w:rsidP="00885FEF">
            <w:pPr>
              <w:rPr>
                <w:rFonts w:ascii="Calibri" w:eastAsia="Times New Roman" w:hAnsi="Calibri" w:cs="Calibri"/>
                <w:color w:val="000000"/>
              </w:rPr>
            </w:pPr>
            <w:bookmarkStart w:id="24" w:name="OLE_LINK136"/>
            <w:bookmarkStart w:id="25" w:name="OLE_LINK137"/>
            <w:r w:rsidRPr="00D567A7">
              <w:rPr>
                <w:rFonts w:ascii="Calibri" w:eastAsia="Times New Roman" w:hAnsi="Calibri" w:cs="Calibri"/>
                <w:color w:val="000000"/>
              </w:rPr>
              <w:t xml:space="preserve">You may think grief follows the pattern of denial, anger, bargaining, depression, and acceptance. </w:t>
            </w:r>
          </w:p>
          <w:p w14:paraId="2CDBAF01" w14:textId="77777777" w:rsidR="001D523C" w:rsidRPr="00FE7EC8" w:rsidRDefault="001D523C" w:rsidP="00885FE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9B5DE12" w14:textId="1C74187A" w:rsidR="001D523C" w:rsidRPr="00FE7EC8" w:rsidRDefault="00885FEF" w:rsidP="00885FEF">
            <w:pPr>
              <w:rPr>
                <w:rFonts w:ascii="Calibri" w:eastAsia="Times New Roman" w:hAnsi="Calibri" w:cs="Calibri"/>
                <w:color w:val="000000"/>
              </w:rPr>
            </w:pPr>
            <w:r w:rsidRPr="00D567A7">
              <w:rPr>
                <w:rFonts w:ascii="Calibri" w:eastAsia="Times New Roman" w:hAnsi="Calibri" w:cs="Calibri"/>
                <w:color w:val="000000"/>
              </w:rPr>
              <w:t xml:space="preserve">But many people follow some or none of those emotions. It would not be unusual for a child to feel anger for months </w:t>
            </w:r>
            <w:r w:rsidRPr="00FE7EC8">
              <w:rPr>
                <w:rFonts w:ascii="Calibri" w:eastAsia="Times New Roman" w:hAnsi="Calibri" w:cs="Calibri"/>
                <w:color w:val="000000"/>
              </w:rPr>
              <w:t>afterward or</w:t>
            </w:r>
            <w:r w:rsidRPr="00D567A7">
              <w:rPr>
                <w:rFonts w:ascii="Calibri" w:eastAsia="Times New Roman" w:hAnsi="Calibri" w:cs="Calibri"/>
                <w:color w:val="000000"/>
              </w:rPr>
              <w:t xml:space="preserve"> be depressed for years. </w:t>
            </w:r>
          </w:p>
          <w:p w14:paraId="63FB8A44" w14:textId="77777777" w:rsidR="001D523C" w:rsidRPr="00FE7EC8" w:rsidRDefault="001D523C" w:rsidP="00885FE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A464530" w14:textId="41152A10" w:rsidR="00885FEF" w:rsidRPr="00FE7EC8" w:rsidRDefault="00885FEF" w:rsidP="00885FEF">
            <w:pPr>
              <w:rPr>
                <w:rFonts w:ascii="Calibri" w:eastAsia="Times New Roman" w:hAnsi="Calibri" w:cs="Calibri"/>
                <w:color w:val="000000"/>
              </w:rPr>
            </w:pPr>
            <w:r w:rsidRPr="00D567A7">
              <w:rPr>
                <w:rFonts w:ascii="Calibri" w:eastAsia="Times New Roman" w:hAnsi="Calibri" w:cs="Calibri"/>
                <w:color w:val="000000"/>
              </w:rPr>
              <w:t>Others may be in denial briefly or for a while and then accept the reality.</w:t>
            </w:r>
            <w:bookmarkEnd w:id="24"/>
            <w:bookmarkEnd w:id="25"/>
          </w:p>
        </w:tc>
        <w:tc>
          <w:tcPr>
            <w:tcW w:w="5120" w:type="dxa"/>
          </w:tcPr>
          <w:p w14:paraId="3E7D7B90" w14:textId="3EAE090D" w:rsidR="00885FEF" w:rsidRPr="00D567A7" w:rsidRDefault="00885FEF" w:rsidP="00AD0D17">
            <w:pPr>
              <w:numPr>
                <w:ilvl w:val="0"/>
                <w:numId w:val="7"/>
              </w:numPr>
              <w:spacing w:line="276" w:lineRule="auto"/>
              <w:ind w:left="434" w:hanging="27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bookmarkStart w:id="26" w:name="OLE_LINK138"/>
            <w:bookmarkStart w:id="27" w:name="OLE_LINK139"/>
            <w:r w:rsidRPr="00D567A7">
              <w:rPr>
                <w:rFonts w:ascii="Calibri" w:eastAsia="Times New Roman" w:hAnsi="Calibri" w:cs="Calibri"/>
                <w:b/>
                <w:bCs/>
                <w:color w:val="000000"/>
              </w:rPr>
              <w:t>Talk to a counselor</w:t>
            </w:r>
            <w:r w:rsidRPr="00D567A7">
              <w:rPr>
                <w:rFonts w:ascii="Calibri" w:eastAsia="Times New Roman" w:hAnsi="Calibri" w:cs="Calibri"/>
                <w:color w:val="000000"/>
              </w:rPr>
              <w:t>. A Victim Advocate at your local CAC can help you find someone to talk to. Remember to find time for yourself.</w:t>
            </w:r>
          </w:p>
          <w:p w14:paraId="6EFA1941" w14:textId="5DB49DF1" w:rsidR="00885FEF" w:rsidRPr="00D567A7" w:rsidRDefault="00885FEF" w:rsidP="00AD0D17">
            <w:pPr>
              <w:numPr>
                <w:ilvl w:val="0"/>
                <w:numId w:val="7"/>
              </w:numPr>
              <w:spacing w:line="276" w:lineRule="auto"/>
              <w:ind w:left="434" w:hanging="27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567A7">
              <w:rPr>
                <w:rFonts w:ascii="Calibri" w:eastAsia="Times New Roman" w:hAnsi="Calibri" w:cs="Calibri"/>
                <w:b/>
                <w:bCs/>
                <w:color w:val="000000"/>
              </w:rPr>
              <w:t>Provide consistency</w:t>
            </w:r>
            <w:r w:rsidRPr="00D567A7">
              <w:rPr>
                <w:rFonts w:ascii="Calibri" w:eastAsia="Times New Roman" w:hAnsi="Calibri" w:cs="Calibri"/>
                <w:color w:val="000000"/>
              </w:rPr>
              <w:t xml:space="preserve">, which can help create safety and predictability. </w:t>
            </w:r>
            <w:r w:rsidR="00FE7EC8">
              <w:rPr>
                <w:rFonts w:ascii="Calibri" w:eastAsia="Times New Roman" w:hAnsi="Calibri" w:cs="Calibri"/>
                <w:color w:val="000000"/>
              </w:rPr>
              <w:t>A</w:t>
            </w:r>
            <w:r w:rsidRPr="00D567A7">
              <w:rPr>
                <w:rFonts w:ascii="Calibri" w:eastAsia="Times New Roman" w:hAnsi="Calibri" w:cs="Calibri"/>
                <w:color w:val="000000"/>
              </w:rPr>
              <w:t xml:space="preserve"> child may need flexibility for a while. Homework still </w:t>
            </w:r>
            <w:proofErr w:type="gramStart"/>
            <w:r w:rsidRPr="00D567A7">
              <w:rPr>
                <w:rFonts w:ascii="Calibri" w:eastAsia="Times New Roman" w:hAnsi="Calibri" w:cs="Calibri"/>
                <w:color w:val="000000"/>
              </w:rPr>
              <w:t>has to</w:t>
            </w:r>
            <w:proofErr w:type="gramEnd"/>
            <w:r w:rsidRPr="00D567A7">
              <w:rPr>
                <w:rFonts w:ascii="Calibri" w:eastAsia="Times New Roman" w:hAnsi="Calibri" w:cs="Calibri"/>
                <w:color w:val="000000"/>
              </w:rPr>
              <w:t xml:space="preserve"> be done, but maybe tonight we take a break and get back to it tomorrow. </w:t>
            </w:r>
          </w:p>
          <w:p w14:paraId="14D8F6AA" w14:textId="6FF58AF7" w:rsidR="00885FEF" w:rsidRPr="00FE7EC8" w:rsidRDefault="00885FEF" w:rsidP="00AD0D17">
            <w:pPr>
              <w:numPr>
                <w:ilvl w:val="0"/>
                <w:numId w:val="7"/>
              </w:numPr>
              <w:spacing w:line="276" w:lineRule="auto"/>
              <w:ind w:left="434" w:hanging="27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567A7">
              <w:rPr>
                <w:rFonts w:ascii="Calibri" w:eastAsia="Times New Roman" w:hAnsi="Calibri" w:cs="Calibri"/>
                <w:b/>
                <w:bCs/>
                <w:color w:val="000000"/>
              </w:rPr>
              <w:t>Children may want to create things</w:t>
            </w:r>
            <w:r w:rsidRPr="00D567A7">
              <w:rPr>
                <w:rFonts w:ascii="Calibri" w:eastAsia="Times New Roman" w:hAnsi="Calibri" w:cs="Calibri"/>
                <w:color w:val="000000"/>
              </w:rPr>
              <w:t>, so give them the flexibility to draw</w:t>
            </w:r>
            <w:r w:rsidR="00AD0D17" w:rsidRPr="00FE7EC8">
              <w:rPr>
                <w:rFonts w:ascii="Calibri" w:eastAsia="Times New Roman" w:hAnsi="Calibri" w:cs="Calibri"/>
                <w:color w:val="000000"/>
              </w:rPr>
              <w:t xml:space="preserve"> and</w:t>
            </w:r>
            <w:r w:rsidRPr="00D567A7">
              <w:rPr>
                <w:rFonts w:ascii="Calibri" w:eastAsia="Times New Roman" w:hAnsi="Calibri" w:cs="Calibri"/>
                <w:color w:val="000000"/>
              </w:rPr>
              <w:t xml:space="preserve"> try new experiences like art classes or sports teams.</w:t>
            </w:r>
            <w:bookmarkEnd w:id="26"/>
            <w:bookmarkEnd w:id="27"/>
          </w:p>
        </w:tc>
      </w:tr>
    </w:tbl>
    <w:p w14:paraId="713B3E7C" w14:textId="77777777" w:rsidR="00885FEF" w:rsidRPr="00D567A7" w:rsidRDefault="00885FEF" w:rsidP="003D048C">
      <w:pPr>
        <w:spacing w:before="360" w:after="120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sectPr w:rsidR="00885FEF" w:rsidRPr="00D567A7" w:rsidSect="00AD0D17">
      <w:type w:val="continuous"/>
      <w:pgSz w:w="12240" w:h="15840"/>
      <w:pgMar w:top="1296" w:right="1440" w:bottom="1440" w:left="1440" w:header="0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83FD" w14:textId="77777777" w:rsidR="009A162F" w:rsidRDefault="009A162F" w:rsidP="00E05DB6">
      <w:r>
        <w:separator/>
      </w:r>
    </w:p>
  </w:endnote>
  <w:endnote w:type="continuationSeparator" w:id="0">
    <w:p w14:paraId="6AB238C1" w14:textId="77777777" w:rsidR="009A162F" w:rsidRDefault="009A162F" w:rsidP="00E0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7"/>
      <w:gridCol w:w="7348"/>
    </w:tblGrid>
    <w:tr w:rsidR="00E05DB6" w14:paraId="1B39081D" w14:textId="77777777" w:rsidTr="003F01D8">
      <w:trPr>
        <w:trHeight w:val="710"/>
      </w:trPr>
      <w:tc>
        <w:tcPr>
          <w:tcW w:w="2065" w:type="dxa"/>
        </w:tcPr>
        <w:p w14:paraId="5683E483" w14:textId="77777777" w:rsidR="00E05DB6" w:rsidRDefault="00E05DB6" w:rsidP="00E05DB6">
          <w:pPr>
            <w:pStyle w:val="Header"/>
          </w:pPr>
          <w:r w:rsidRPr="00341235">
            <w:rPr>
              <w:rFonts w:eastAsia="Times New Roman" w:cs="Times New Roman"/>
              <w:noProof/>
              <w:color w:val="FFFFFF" w:themeColor="background1"/>
              <w:sz w:val="28"/>
              <w:szCs w:val="28"/>
              <w14:textFill>
                <w14:noFill/>
              </w14:textFill>
            </w:rPr>
            <w:drawing>
              <wp:inline distT="0" distB="0" distL="0" distR="0" wp14:anchorId="6F19D631" wp14:editId="4D3B158E">
                <wp:extent cx="1032933" cy="563996"/>
                <wp:effectExtent l="0" t="0" r="0" b="0"/>
                <wp:docPr id="10" name="Picture 10" descr="Indiana Chapter of National Children's Alli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ana Chapter of National Children's Alli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904" cy="583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5" w:type="dxa"/>
        </w:tcPr>
        <w:p w14:paraId="1CE2508E" w14:textId="77777777" w:rsidR="00E05DB6" w:rsidRPr="00E514DE" w:rsidRDefault="00E05DB6" w:rsidP="00E05DB6">
          <w:pPr>
            <w:pStyle w:val="Header"/>
            <w:rPr>
              <w:color w:val="808080" w:themeColor="background1" w:themeShade="80"/>
              <w:sz w:val="21"/>
              <w:szCs w:val="21"/>
            </w:rPr>
          </w:pPr>
          <w:r w:rsidRPr="00E514DE">
            <w:rPr>
              <w:color w:val="808080" w:themeColor="background1" w:themeShade="80"/>
              <w:sz w:val="21"/>
              <w:szCs w:val="21"/>
            </w:rPr>
            <w:t>info@incacs.org</w:t>
          </w:r>
        </w:p>
        <w:p w14:paraId="31391EB2" w14:textId="77777777" w:rsidR="00E05DB6" w:rsidRDefault="00E05DB6" w:rsidP="00E05DB6">
          <w:pPr>
            <w:pStyle w:val="Header"/>
            <w:rPr>
              <w:color w:val="A6A6A6" w:themeColor="background1" w:themeShade="A6"/>
              <w:sz w:val="20"/>
              <w:szCs w:val="20"/>
            </w:rPr>
          </w:pPr>
          <w:r w:rsidRPr="00E514DE">
            <w:rPr>
              <w:color w:val="A6A6A6" w:themeColor="background1" w:themeShade="A6"/>
              <w:sz w:val="20"/>
              <w:szCs w:val="20"/>
            </w:rPr>
            <w:t>Read about what teams are doing across the state at incacs.org and facebook.com/</w:t>
          </w:r>
          <w:proofErr w:type="spellStart"/>
          <w:r w:rsidRPr="00E514DE">
            <w:rPr>
              <w:color w:val="A6A6A6" w:themeColor="background1" w:themeShade="A6"/>
              <w:sz w:val="20"/>
              <w:szCs w:val="20"/>
            </w:rPr>
            <w:t>indianacacs</w:t>
          </w:r>
          <w:proofErr w:type="spellEnd"/>
        </w:p>
        <w:p w14:paraId="775B5499" w14:textId="77777777" w:rsidR="00E05DB6" w:rsidRPr="00B1340A" w:rsidRDefault="00E05DB6" w:rsidP="00E05DB6">
          <w:pPr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</w:pPr>
          <w:r w:rsidRPr="00032DA7"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  <w:t xml:space="preserve">This guide </w:t>
          </w:r>
          <w:r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  <w:t>was prepared by the Indiana Chapter of the National Children’s Alliance.</w:t>
          </w:r>
        </w:p>
        <w:p w14:paraId="05C96BCB" w14:textId="77777777" w:rsidR="00E05DB6" w:rsidRPr="00A00D6C" w:rsidRDefault="00E05DB6" w:rsidP="00E05DB6">
          <w:pPr>
            <w:pStyle w:val="Header"/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</w:pPr>
        </w:p>
      </w:tc>
    </w:tr>
  </w:tbl>
  <w:p w14:paraId="233F1E56" w14:textId="77777777" w:rsidR="00E05DB6" w:rsidRDefault="00E05DB6" w:rsidP="00E05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F0F6" w14:textId="77777777" w:rsidR="009A162F" w:rsidRDefault="009A162F" w:rsidP="00E05DB6">
      <w:r>
        <w:separator/>
      </w:r>
    </w:p>
  </w:footnote>
  <w:footnote w:type="continuationSeparator" w:id="0">
    <w:p w14:paraId="465EF041" w14:textId="77777777" w:rsidR="009A162F" w:rsidRDefault="009A162F" w:rsidP="00E0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5313" w14:textId="77777777" w:rsidR="00E05DB6" w:rsidRDefault="00E05DB6" w:rsidP="00E05DB6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9"/>
      <w:gridCol w:w="2671"/>
    </w:tblGrid>
    <w:tr w:rsidR="003D048C" w14:paraId="29A4DC79" w14:textId="77777777" w:rsidTr="00AD0D17">
      <w:trPr>
        <w:trHeight w:val="85"/>
      </w:trPr>
      <w:tc>
        <w:tcPr>
          <w:tcW w:w="8100" w:type="dxa"/>
        </w:tcPr>
        <w:p w14:paraId="1E19F70B" w14:textId="74D0CB43" w:rsidR="00E05DB6" w:rsidRPr="003D048C" w:rsidRDefault="00885FEF" w:rsidP="00E05DB6">
          <w:pPr>
            <w:pStyle w:val="Header"/>
            <w:rPr>
              <w:sz w:val="44"/>
              <w:szCs w:val="44"/>
            </w:rPr>
          </w:pPr>
          <w:bookmarkStart w:id="4" w:name="OLE_LINK118"/>
          <w:bookmarkStart w:id="5" w:name="OLE_LINK119"/>
          <w:r w:rsidRPr="003D048C">
            <w:rPr>
              <w:rFonts w:ascii="Futura Medium" w:hAnsi="Futura Medium" w:cs="Futura Medium"/>
              <w:color w:val="3B3838" w:themeColor="background2" w:themeShade="40"/>
              <w:sz w:val="44"/>
              <w:szCs w:val="44"/>
            </w:rPr>
            <w:t>Support</w:t>
          </w:r>
          <w:r w:rsidR="003D048C" w:rsidRPr="003D048C">
            <w:rPr>
              <w:rFonts w:ascii="Futura Medium" w:hAnsi="Futura Medium" w:cs="Futura Medium"/>
              <w:color w:val="3B3838" w:themeColor="background2" w:themeShade="40"/>
              <w:sz w:val="44"/>
              <w:szCs w:val="44"/>
            </w:rPr>
            <w:t>ing</w:t>
          </w:r>
          <w:r w:rsidR="00E05DB6" w:rsidRPr="003D048C">
            <w:rPr>
              <w:rFonts w:ascii="Futura Medium" w:hAnsi="Futura Medium" w:cs="Futura Medium"/>
              <w:color w:val="3B3838" w:themeColor="background2" w:themeShade="40"/>
              <w:sz w:val="44"/>
              <w:szCs w:val="44"/>
            </w:rPr>
            <w:t xml:space="preserve"> </w:t>
          </w:r>
          <w:r w:rsidR="003D048C" w:rsidRPr="003D048C">
            <w:rPr>
              <w:rFonts w:ascii="Futura Medium" w:hAnsi="Futura Medium" w:cs="Futura Medium"/>
              <w:color w:val="3B3838" w:themeColor="background2" w:themeShade="40"/>
              <w:sz w:val="44"/>
              <w:szCs w:val="44"/>
            </w:rPr>
            <w:t>youth</w:t>
          </w:r>
          <w:r w:rsidR="00E05DB6" w:rsidRPr="003D048C">
            <w:rPr>
              <w:rFonts w:ascii="Futura Medium" w:hAnsi="Futura Medium" w:cs="Futura Medium"/>
              <w:color w:val="3B3838" w:themeColor="background2" w:themeShade="40"/>
              <w:sz w:val="44"/>
              <w:szCs w:val="44"/>
            </w:rPr>
            <w:t xml:space="preserve"> </w:t>
          </w:r>
          <w:r w:rsidR="003D048C" w:rsidRPr="003D048C">
            <w:rPr>
              <w:rFonts w:ascii="Futura Medium" w:hAnsi="Futura Medium" w:cs="Futura Medium"/>
              <w:color w:val="3B3838" w:themeColor="background2" w:themeShade="40"/>
              <w:sz w:val="44"/>
              <w:szCs w:val="44"/>
            </w:rPr>
            <w:t xml:space="preserve">grieving </w:t>
          </w:r>
          <w:r w:rsidR="00E05DB6" w:rsidRPr="003D048C">
            <w:rPr>
              <w:rFonts w:ascii="Futura Medium" w:hAnsi="Futura Medium" w:cs="Futura Medium"/>
              <w:color w:val="3B3838" w:themeColor="background2" w:themeShade="40"/>
              <w:sz w:val="44"/>
              <w:szCs w:val="44"/>
            </w:rPr>
            <w:t>after a violent or unexpected death</w:t>
          </w:r>
          <w:bookmarkEnd w:id="4"/>
          <w:bookmarkEnd w:id="5"/>
        </w:p>
      </w:tc>
      <w:tc>
        <w:tcPr>
          <w:tcW w:w="2690" w:type="dxa"/>
        </w:tcPr>
        <w:p w14:paraId="65272434" w14:textId="77777777" w:rsidR="00E05DB6" w:rsidRPr="00E514DE" w:rsidRDefault="00E05DB6" w:rsidP="00E05DB6">
          <w:pPr>
            <w:pStyle w:val="Header"/>
            <w:rPr>
              <w:sz w:val="60"/>
              <w:szCs w:val="60"/>
            </w:rPr>
          </w:pPr>
          <w:r w:rsidRPr="00341235">
            <w:rPr>
              <w:rFonts w:eastAsia="Times New Roman" w:cs="Times New Roman"/>
              <w:noProof/>
              <w:color w:val="FFFFFF" w:themeColor="background1"/>
              <w:sz w:val="28"/>
              <w:szCs w:val="28"/>
              <w14:textFill>
                <w14:noFill/>
              </w14:textFill>
            </w:rPr>
            <w:drawing>
              <wp:inline distT="0" distB="0" distL="0" distR="0" wp14:anchorId="1843F48C" wp14:editId="02095FFA">
                <wp:extent cx="1518081" cy="828894"/>
                <wp:effectExtent l="0" t="0" r="6350" b="0"/>
                <wp:docPr id="9" name="Picture 9" descr="Indiana Chapter of National Children's Alli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ana Chapter of National Children's Alli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483" cy="837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A27967" w14:textId="77777777" w:rsidR="00E05DB6" w:rsidRDefault="00E05DB6" w:rsidP="00AD0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17.8pt;height:17.8pt" o:bullet="t">
        <v:imagedata r:id="rId1" o:title="check-icon"/>
      </v:shape>
    </w:pict>
  </w:numPicBullet>
  <w:abstractNum w:abstractNumId="0" w15:restartNumberingAfterBreak="0">
    <w:nsid w:val="18F95124"/>
    <w:multiLevelType w:val="multilevel"/>
    <w:tmpl w:val="3B7A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942AF"/>
    <w:multiLevelType w:val="multilevel"/>
    <w:tmpl w:val="F590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F1DC0"/>
    <w:multiLevelType w:val="multilevel"/>
    <w:tmpl w:val="F73A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343A1"/>
    <w:multiLevelType w:val="multilevel"/>
    <w:tmpl w:val="6EB2162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82F9E"/>
    <w:multiLevelType w:val="multilevel"/>
    <w:tmpl w:val="17FEB5E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87318"/>
    <w:multiLevelType w:val="multilevel"/>
    <w:tmpl w:val="4BBA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F3BDC"/>
    <w:multiLevelType w:val="multilevel"/>
    <w:tmpl w:val="478C577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A7"/>
    <w:rsid w:val="00030945"/>
    <w:rsid w:val="000F6548"/>
    <w:rsid w:val="00104EEB"/>
    <w:rsid w:val="00125A19"/>
    <w:rsid w:val="00130A05"/>
    <w:rsid w:val="001471E3"/>
    <w:rsid w:val="00161382"/>
    <w:rsid w:val="00164B06"/>
    <w:rsid w:val="00186570"/>
    <w:rsid w:val="001C0865"/>
    <w:rsid w:val="001D523C"/>
    <w:rsid w:val="001F26E0"/>
    <w:rsid w:val="0027212C"/>
    <w:rsid w:val="002C77AF"/>
    <w:rsid w:val="00331AD3"/>
    <w:rsid w:val="003D048C"/>
    <w:rsid w:val="003E3EAD"/>
    <w:rsid w:val="003E7FB9"/>
    <w:rsid w:val="004150E1"/>
    <w:rsid w:val="00460BE3"/>
    <w:rsid w:val="00475974"/>
    <w:rsid w:val="005706EF"/>
    <w:rsid w:val="005721BB"/>
    <w:rsid w:val="005A0A36"/>
    <w:rsid w:val="005B7306"/>
    <w:rsid w:val="00622B3E"/>
    <w:rsid w:val="00642D58"/>
    <w:rsid w:val="006672A8"/>
    <w:rsid w:val="006A3054"/>
    <w:rsid w:val="006A4E9C"/>
    <w:rsid w:val="006C74C0"/>
    <w:rsid w:val="00775B83"/>
    <w:rsid w:val="007A5B4F"/>
    <w:rsid w:val="007F61D6"/>
    <w:rsid w:val="00824706"/>
    <w:rsid w:val="008532CF"/>
    <w:rsid w:val="00855B7F"/>
    <w:rsid w:val="0086572C"/>
    <w:rsid w:val="00871B1D"/>
    <w:rsid w:val="00885FEF"/>
    <w:rsid w:val="008A1852"/>
    <w:rsid w:val="009456A8"/>
    <w:rsid w:val="009A162F"/>
    <w:rsid w:val="009C5F0E"/>
    <w:rsid w:val="00A32E10"/>
    <w:rsid w:val="00A46A7A"/>
    <w:rsid w:val="00AD0D17"/>
    <w:rsid w:val="00B62197"/>
    <w:rsid w:val="00B77EAB"/>
    <w:rsid w:val="00BA2236"/>
    <w:rsid w:val="00C35453"/>
    <w:rsid w:val="00C95101"/>
    <w:rsid w:val="00CA56D1"/>
    <w:rsid w:val="00D11647"/>
    <w:rsid w:val="00D567A7"/>
    <w:rsid w:val="00E05DB6"/>
    <w:rsid w:val="00E5436E"/>
    <w:rsid w:val="00E95EE7"/>
    <w:rsid w:val="00EA2C05"/>
    <w:rsid w:val="00F12921"/>
    <w:rsid w:val="00F2437E"/>
    <w:rsid w:val="00F53ACB"/>
    <w:rsid w:val="00F87579"/>
    <w:rsid w:val="00FD0B40"/>
    <w:rsid w:val="00FE5CF8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2FE8"/>
  <w15:chartTrackingRefBased/>
  <w15:docId w15:val="{F4FDFCF9-FF71-314B-A4C4-17AFA525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67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6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7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67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6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05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B6"/>
  </w:style>
  <w:style w:type="paragraph" w:styleId="Footer">
    <w:name w:val="footer"/>
    <w:basedOn w:val="Normal"/>
    <w:link w:val="FooterChar"/>
    <w:uiPriority w:val="99"/>
    <w:unhideWhenUsed/>
    <w:rsid w:val="00E05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B6"/>
  </w:style>
  <w:style w:type="table" w:styleId="TableGrid">
    <w:name w:val="Table Grid"/>
    <w:basedOn w:val="TableNormal"/>
    <w:uiPriority w:val="39"/>
    <w:rsid w:val="00E0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Harter, Justin L</dc:creator>
  <cp:keywords/>
  <dc:description/>
  <cp:lastModifiedBy>Harter, Justin L</cp:lastModifiedBy>
  <cp:revision>14</cp:revision>
  <cp:lastPrinted>2022-01-20T17:23:00Z</cp:lastPrinted>
  <dcterms:created xsi:type="dcterms:W3CDTF">2022-01-20T15:49:00Z</dcterms:created>
  <dcterms:modified xsi:type="dcterms:W3CDTF">2022-01-20T21:05:00Z</dcterms:modified>
</cp:coreProperties>
</file>